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22" w:rsidRPr="007E6821" w:rsidRDefault="003C6D22" w:rsidP="007E6821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1">
        <w:rPr>
          <w:rFonts w:ascii="Times New Roman" w:hAnsi="Times New Roman" w:cs="Times New Roman"/>
          <w:b/>
          <w:sz w:val="28"/>
          <w:szCs w:val="28"/>
        </w:rPr>
        <w:t>Модель развивающей речевой среды школы как условие коммуникативно-речевого развития  субъектов образовательного процесса</w:t>
      </w:r>
    </w:p>
    <w:p w:rsidR="003C6D22" w:rsidRPr="007E6821" w:rsidRDefault="003C6D22" w:rsidP="007E68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6821">
        <w:rPr>
          <w:rFonts w:ascii="Times New Roman" w:hAnsi="Times New Roman" w:cs="Times New Roman"/>
          <w:sz w:val="28"/>
          <w:szCs w:val="28"/>
        </w:rPr>
        <w:t xml:space="preserve">Демидова Юлия Владимировна, </w:t>
      </w:r>
    </w:p>
    <w:p w:rsidR="003C6D22" w:rsidRPr="007E6821" w:rsidRDefault="003C6D22" w:rsidP="007E68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6821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3C6D22" w:rsidRPr="007E6821" w:rsidRDefault="003C6D22" w:rsidP="007E6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Стратегическая цель современной российской школы – развитие личности школьника. Усиление внимания к развивающей стороне обучения, к формированию у школьников умения учиться обусловлено принятием новых образовательных стандартов, согласно которым результатом образования выступают не накопленные учащимися знания, умения и навыки, а достижения новых результатов личностного, социального, коммуникативного, познавательного развития обучающихся.</w:t>
      </w:r>
    </w:p>
    <w:p w:rsidR="003C6D22" w:rsidRPr="007E6821" w:rsidRDefault="003C6D22" w:rsidP="007E6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Коммуникативно-речевое развитие школьников способно внести свой вклад в решение проблемы многоаспектного развития личности современного ученика (Г.М.Бушуева, И.А.Гришанова, С.О.Тамбиева). Коммуникативно-речевое развитие выступает, с одной стороны, как процесс становления и совершенствования личностных качеств обучающихся, их коммуникативных умений, ценностных ориентаций и социальных навыков. С другой стороны, оно способствует формированию готовности и способности личности к саморазвитию. С этих позиций значимость коммуникативно-речевого развития школьников в условиях современной средней школы очевидна.</w:t>
      </w:r>
    </w:p>
    <w:p w:rsidR="003C6D22" w:rsidRPr="007E6821" w:rsidRDefault="003C6D22" w:rsidP="007E682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Коммуникативно-речевое развитие школьников – это целостное специально организованное взаимодействие субъектов образовательного процесса, направленное на развитие мотивации обучающихся,  становление коммуникативных и речевых компетенций,  способствующее их  успешной социальной адаптации. </w:t>
      </w:r>
    </w:p>
    <w:p w:rsidR="003C6D22" w:rsidRPr="007E6821" w:rsidRDefault="003C6D22" w:rsidP="007E6821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Коммуникативно-речевое развитие учеников, рассматриваемое нами как часть общего развития личности, в условиях образовательного процесса  школы будет проходить более эффективно, если: </w:t>
      </w:r>
    </w:p>
    <w:p w:rsidR="003C6D22" w:rsidRPr="007E6821" w:rsidRDefault="003C6D22" w:rsidP="007E682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образовательный процесс строить на основе синтеза деятельностного, личностно-ориентированного и компетентностного подходов;</w:t>
      </w:r>
    </w:p>
    <w:p w:rsidR="003C6D22" w:rsidRPr="007E6821" w:rsidRDefault="003C6D22" w:rsidP="007E682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образовательный процесс осуществлять с опорой на имеющийся у  школьников уровень коммуникативно-речевого развития;</w:t>
      </w:r>
    </w:p>
    <w:p w:rsidR="003C6D22" w:rsidRPr="007E6821" w:rsidRDefault="003C6D22" w:rsidP="007E682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ситуациях общения, обеспечить педагогическую поддержку, направленную на преодоление школьниками возникающих затруднений, на развитие у них мотивационной готовности и ценностного отношения к общению;</w:t>
      </w:r>
    </w:p>
    <w:p w:rsidR="003C6D22" w:rsidRPr="007E6821" w:rsidRDefault="003C6D22" w:rsidP="007E682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усилить коммуникативный компонент в содержании и методах обучения;</w:t>
      </w:r>
    </w:p>
    <w:p w:rsidR="007E6821" w:rsidRPr="007E6821" w:rsidRDefault="007E6821" w:rsidP="007E682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6D22"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педагогический инструментарий для мониторинга и изм</w:t>
      </w:r>
      <w:r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ерения</w:t>
      </w:r>
    </w:p>
    <w:p w:rsidR="007E6821" w:rsidRPr="007E6821" w:rsidRDefault="007E6821" w:rsidP="007E682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6D22"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коммуникативно-речевого развития учеников.</w:t>
      </w:r>
      <w:r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D22" w:rsidRPr="007E6821" w:rsidRDefault="007E6821" w:rsidP="007E682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E6821">
        <w:rPr>
          <w:rFonts w:ascii="Times New Roman" w:hAnsi="Times New Roman" w:cs="Times New Roman"/>
          <w:sz w:val="28"/>
          <w:szCs w:val="28"/>
        </w:rPr>
        <w:t xml:space="preserve">Важным условием </w:t>
      </w:r>
      <w:r w:rsidR="003C6D22" w:rsidRPr="007E6821">
        <w:rPr>
          <w:rFonts w:ascii="Times New Roman" w:hAnsi="Times New Roman" w:cs="Times New Roman"/>
          <w:sz w:val="28"/>
          <w:szCs w:val="28"/>
        </w:rPr>
        <w:t>коммуникативно-речевого раз</w:t>
      </w:r>
      <w:r w:rsidRPr="007E6821">
        <w:rPr>
          <w:rFonts w:ascii="Times New Roman" w:hAnsi="Times New Roman" w:cs="Times New Roman"/>
          <w:sz w:val="28"/>
          <w:szCs w:val="28"/>
        </w:rPr>
        <w:t>вития становится создание разв</w:t>
      </w:r>
      <w:r w:rsidR="003C6D22" w:rsidRPr="007E6821">
        <w:rPr>
          <w:rFonts w:ascii="Times New Roman" w:hAnsi="Times New Roman" w:cs="Times New Roman"/>
          <w:sz w:val="28"/>
          <w:szCs w:val="28"/>
        </w:rPr>
        <w:t>ивающей речевой среды школы.</w:t>
      </w:r>
      <w:r w:rsidRPr="007E6821">
        <w:rPr>
          <w:rFonts w:ascii="Times New Roman" w:hAnsi="Times New Roman" w:cs="Times New Roman"/>
          <w:sz w:val="28"/>
          <w:szCs w:val="28"/>
        </w:rPr>
        <w:t xml:space="preserve"> </w:t>
      </w:r>
      <w:r w:rsidR="003C6D22" w:rsidRPr="007E6821">
        <w:rPr>
          <w:rFonts w:ascii="Times New Roman" w:hAnsi="Times New Roman" w:cs="Times New Roman"/>
          <w:sz w:val="28"/>
          <w:szCs w:val="28"/>
        </w:rPr>
        <w:t>При разработке модели речевой среды шк</w:t>
      </w:r>
      <w:r w:rsidRPr="007E6821">
        <w:rPr>
          <w:rFonts w:ascii="Times New Roman" w:hAnsi="Times New Roman" w:cs="Times New Roman"/>
          <w:sz w:val="28"/>
          <w:szCs w:val="28"/>
        </w:rPr>
        <w:t>олы мы опирались на труды  В.А.</w:t>
      </w:r>
      <w:r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D22" w:rsidRPr="007E6821">
        <w:rPr>
          <w:rFonts w:ascii="Times New Roman" w:hAnsi="Times New Roman" w:cs="Times New Roman"/>
          <w:sz w:val="28"/>
          <w:szCs w:val="28"/>
        </w:rPr>
        <w:t>Ясвина, посвящённые описанию эколого-личностной модели  развивающей образовательной среды школы.  При этом речевая среда школы  рассматривается нами как обязательная составляющая образов</w:t>
      </w:r>
      <w:r w:rsidRPr="007E6821">
        <w:rPr>
          <w:rFonts w:ascii="Times New Roman" w:hAnsi="Times New Roman" w:cs="Times New Roman"/>
          <w:sz w:val="28"/>
          <w:szCs w:val="28"/>
        </w:rPr>
        <w:t>ательной среды школы.   Для того</w:t>
      </w:r>
      <w:r w:rsidR="003C6D22" w:rsidRPr="007E6821">
        <w:rPr>
          <w:rFonts w:ascii="Times New Roman" w:hAnsi="Times New Roman" w:cs="Times New Roman"/>
          <w:sz w:val="28"/>
          <w:szCs w:val="28"/>
        </w:rPr>
        <w:t>, чтобы речевая среда имела развивающий эффект,  она должна обеспечить комплекс возможностей для  коммуникативно-речевого развития всех субъектов образовательных отношений (обучающихся, родителей, педагогов).  Для этого в модели речевой среды выделены 3 компонента:</w:t>
      </w:r>
    </w:p>
    <w:p w:rsidR="007E6821" w:rsidRPr="007E6821" w:rsidRDefault="003C6D22" w:rsidP="007E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2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Социальный компонент - </w:t>
      </w:r>
      <w:r w:rsidRPr="007E6821">
        <w:rPr>
          <w:rFonts w:ascii="Times New Roman" w:hAnsi="Times New Roman" w:cs="Times New Roman"/>
          <w:sz w:val="28"/>
          <w:szCs w:val="28"/>
        </w:rPr>
        <w:t>характер взаимоотношений субъектов образовательной деятельности</w:t>
      </w:r>
      <w:r w:rsidR="007E6821" w:rsidRPr="007E6821">
        <w:rPr>
          <w:rFonts w:ascii="Times New Roman" w:hAnsi="Times New Roman" w:cs="Times New Roman"/>
          <w:sz w:val="28"/>
          <w:szCs w:val="28"/>
        </w:rPr>
        <w:t>.</w:t>
      </w:r>
      <w:r w:rsidRPr="007E6821">
        <w:rPr>
          <w:rFonts w:ascii="Times New Roman" w:hAnsi="Times New Roman" w:cs="Times New Roman"/>
          <w:sz w:val="28"/>
          <w:szCs w:val="28"/>
        </w:rPr>
        <w:t xml:space="preserve"> (Культура речевого общения выступает как основа всякого рода взаимодействия.)</w:t>
      </w:r>
    </w:p>
    <w:p w:rsidR="003C6D22" w:rsidRPr="007E6821" w:rsidRDefault="003C6D22" w:rsidP="007E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21">
        <w:rPr>
          <w:rFonts w:ascii="Times New Roman" w:hAnsi="Times New Roman" w:cs="Times New Roman"/>
          <w:b/>
          <w:i/>
          <w:sz w:val="28"/>
          <w:szCs w:val="28"/>
        </w:rPr>
        <w:t xml:space="preserve">Пространственно - предметный – </w:t>
      </w:r>
      <w:r w:rsidRPr="007E6821">
        <w:rPr>
          <w:rFonts w:ascii="Times New Roman" w:hAnsi="Times New Roman" w:cs="Times New Roman"/>
          <w:sz w:val="28"/>
          <w:szCs w:val="28"/>
        </w:rPr>
        <w:t>помещения для занятий, прилегающая территория, здание в целом. (Обязательной становится культура языка стендов, вывесок, объявлений, раздаточных материалов, документов и т.д.)</w:t>
      </w:r>
    </w:p>
    <w:p w:rsidR="003C6D22" w:rsidRPr="007E6821" w:rsidRDefault="003C6D22" w:rsidP="007E68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821">
        <w:rPr>
          <w:rFonts w:ascii="Times New Roman" w:hAnsi="Times New Roman" w:cs="Times New Roman"/>
          <w:b/>
          <w:i/>
          <w:sz w:val="28"/>
          <w:szCs w:val="28"/>
        </w:rPr>
        <w:t>Организационно</w:t>
      </w:r>
      <w:r w:rsidR="007E6821" w:rsidRPr="007E6821">
        <w:rPr>
          <w:rFonts w:ascii="Times New Roman" w:hAnsi="Times New Roman" w:cs="Times New Roman"/>
          <w:b/>
          <w:i/>
          <w:sz w:val="28"/>
          <w:szCs w:val="28"/>
        </w:rPr>
        <w:t xml:space="preserve"> - технологиче</w:t>
      </w:r>
      <w:r w:rsidRPr="007E682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E6821" w:rsidRPr="007E682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E6821">
        <w:rPr>
          <w:rFonts w:ascii="Times New Roman" w:hAnsi="Times New Roman" w:cs="Times New Roman"/>
          <w:b/>
          <w:i/>
          <w:sz w:val="28"/>
          <w:szCs w:val="28"/>
        </w:rPr>
        <w:t xml:space="preserve">ий - </w:t>
      </w:r>
      <w:r w:rsidRPr="007E6821">
        <w:rPr>
          <w:rFonts w:ascii="Times New Roman" w:hAnsi="Times New Roman" w:cs="Times New Roman"/>
          <w:sz w:val="28"/>
          <w:szCs w:val="28"/>
        </w:rPr>
        <w:t>содержание</w:t>
      </w:r>
      <w:r w:rsidR="007E6821" w:rsidRPr="007E6821">
        <w:rPr>
          <w:rFonts w:ascii="Times New Roman" w:hAnsi="Times New Roman" w:cs="Times New Roman"/>
          <w:sz w:val="28"/>
          <w:szCs w:val="28"/>
        </w:rPr>
        <w:t>, методы, приёмы, технологии. (</w:t>
      </w:r>
      <w:r w:rsidRPr="007E6821">
        <w:rPr>
          <w:rFonts w:ascii="Times New Roman" w:hAnsi="Times New Roman" w:cs="Times New Roman"/>
          <w:sz w:val="28"/>
          <w:szCs w:val="28"/>
        </w:rPr>
        <w:t>Отбор и применение эффективных средств  развития коммуникативной и речевой компетенций.)</w:t>
      </w:r>
    </w:p>
    <w:p w:rsidR="003C6D22" w:rsidRPr="007E6821" w:rsidRDefault="007E6821" w:rsidP="007E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21">
        <w:rPr>
          <w:rFonts w:ascii="Times New Roman" w:hAnsi="Times New Roman" w:cs="Times New Roman"/>
          <w:sz w:val="28"/>
          <w:szCs w:val="28"/>
        </w:rPr>
        <w:t xml:space="preserve">     </w:t>
      </w:r>
      <w:r w:rsidR="003C6D22" w:rsidRPr="007E6821">
        <w:rPr>
          <w:rFonts w:ascii="Times New Roman" w:hAnsi="Times New Roman" w:cs="Times New Roman"/>
          <w:sz w:val="28"/>
          <w:szCs w:val="28"/>
        </w:rPr>
        <w:t>Процесс создания развивающей речевой среды мы рассматривает как  социально-педагогический, направленный на качественное изменение роли и места  речи в образовательном процессе, повышения уровня её значимости.</w:t>
      </w:r>
    </w:p>
    <w:p w:rsidR="003C6D22" w:rsidRPr="007E6821" w:rsidRDefault="007E6821" w:rsidP="007E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21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C6D22" w:rsidRPr="007E6821">
        <w:rPr>
          <w:rFonts w:ascii="Times New Roman" w:hAnsi="Times New Roman" w:cs="Times New Roman"/>
          <w:sz w:val="28"/>
          <w:szCs w:val="28"/>
        </w:rPr>
        <w:t>Цель построения речевой среды - это насыщение  образовательной среды в школе и за её пределами компонентами, обеспечивающими развитие речи. Задачи построения речевой среды – это обеспечение следующих составляющих:</w:t>
      </w:r>
    </w:p>
    <w:p w:rsidR="007E6821" w:rsidRPr="007E6821" w:rsidRDefault="003C6D22" w:rsidP="007E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21">
        <w:rPr>
          <w:rFonts w:ascii="Times New Roman" w:hAnsi="Times New Roman" w:cs="Times New Roman"/>
          <w:sz w:val="28"/>
          <w:szCs w:val="28"/>
        </w:rPr>
        <w:t>-возможности восприятия и наблюдения за правильной речью;</w:t>
      </w:r>
    </w:p>
    <w:p w:rsidR="003C6D22" w:rsidRPr="007E6821" w:rsidRDefault="003C6D22" w:rsidP="007E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21">
        <w:rPr>
          <w:rFonts w:ascii="Times New Roman" w:hAnsi="Times New Roman" w:cs="Times New Roman"/>
          <w:sz w:val="28"/>
          <w:szCs w:val="28"/>
        </w:rPr>
        <w:t>-возможности самостоятельной мыслеречевой деятельности;</w:t>
      </w:r>
    </w:p>
    <w:p w:rsidR="003C6D22" w:rsidRPr="007E6821" w:rsidRDefault="003C6D22" w:rsidP="007E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21">
        <w:rPr>
          <w:rFonts w:ascii="Times New Roman" w:hAnsi="Times New Roman" w:cs="Times New Roman"/>
          <w:sz w:val="28"/>
          <w:szCs w:val="28"/>
        </w:rPr>
        <w:t>-комфортного состояния  в проявлении речевых реакций;</w:t>
      </w:r>
    </w:p>
    <w:p w:rsidR="003C6D22" w:rsidRPr="007E6821" w:rsidRDefault="003C6D22" w:rsidP="007E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21">
        <w:rPr>
          <w:rFonts w:ascii="Times New Roman" w:hAnsi="Times New Roman" w:cs="Times New Roman"/>
          <w:sz w:val="28"/>
          <w:szCs w:val="28"/>
        </w:rPr>
        <w:t>- возможности исследования и экспериментирования в речевой среде</w:t>
      </w:r>
    </w:p>
    <w:p w:rsidR="003C6D22" w:rsidRPr="007E6821" w:rsidRDefault="007E6821" w:rsidP="007E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21">
        <w:rPr>
          <w:rFonts w:ascii="Times New Roman" w:hAnsi="Times New Roman" w:cs="Times New Roman"/>
          <w:sz w:val="28"/>
          <w:szCs w:val="28"/>
        </w:rPr>
        <w:t xml:space="preserve">      </w:t>
      </w:r>
      <w:r w:rsidR="003C6D22" w:rsidRPr="007E6821">
        <w:rPr>
          <w:rFonts w:ascii="Times New Roman" w:hAnsi="Times New Roman" w:cs="Times New Roman"/>
          <w:sz w:val="28"/>
          <w:szCs w:val="28"/>
        </w:rPr>
        <w:t>Создание развивающей речевой среды  предусматривает изменение подходов к организации образовательного процесса</w:t>
      </w:r>
    </w:p>
    <w:p w:rsidR="003C6D22" w:rsidRPr="007E6821" w:rsidRDefault="003C6D22" w:rsidP="007E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21">
        <w:rPr>
          <w:rFonts w:ascii="Times New Roman" w:hAnsi="Times New Roman" w:cs="Times New Roman"/>
          <w:sz w:val="28"/>
          <w:szCs w:val="28"/>
        </w:rPr>
        <w:t>- в урочной и внеурочной деятельности - введение в учебный план часов, направленных  на формирование  коммуникативно-речевой компетенции, применение р</w:t>
      </w:r>
      <w:r w:rsidR="007E6821" w:rsidRPr="007E6821">
        <w:rPr>
          <w:rFonts w:ascii="Times New Roman" w:hAnsi="Times New Roman" w:cs="Times New Roman"/>
          <w:sz w:val="28"/>
          <w:szCs w:val="28"/>
        </w:rPr>
        <w:t>е</w:t>
      </w:r>
      <w:r w:rsidRPr="007E6821">
        <w:rPr>
          <w:rFonts w:ascii="Times New Roman" w:hAnsi="Times New Roman" w:cs="Times New Roman"/>
          <w:sz w:val="28"/>
          <w:szCs w:val="28"/>
        </w:rPr>
        <w:t>чеформирующих образовательных технологий;</w:t>
      </w:r>
    </w:p>
    <w:p w:rsidR="003C6D22" w:rsidRPr="007E6821" w:rsidRDefault="003C6D22" w:rsidP="007E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21">
        <w:rPr>
          <w:rFonts w:ascii="Times New Roman" w:hAnsi="Times New Roman" w:cs="Times New Roman"/>
          <w:sz w:val="28"/>
          <w:szCs w:val="28"/>
        </w:rPr>
        <w:t>-во внеклассной работе -  введение в план работы школы  событий, мероприятий, развивающих культуры речевого взаимодействия;</w:t>
      </w:r>
    </w:p>
    <w:p w:rsidR="003C6D22" w:rsidRPr="007E6821" w:rsidRDefault="003C6D22" w:rsidP="007E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21">
        <w:rPr>
          <w:rFonts w:ascii="Times New Roman" w:hAnsi="Times New Roman" w:cs="Times New Roman"/>
          <w:sz w:val="28"/>
          <w:szCs w:val="28"/>
        </w:rPr>
        <w:t>- в работе с родителями и социумом</w:t>
      </w:r>
      <w:r w:rsidR="007E6821" w:rsidRPr="007E6821">
        <w:rPr>
          <w:rFonts w:ascii="Times New Roman" w:hAnsi="Times New Roman" w:cs="Times New Roman"/>
          <w:sz w:val="28"/>
          <w:szCs w:val="28"/>
        </w:rPr>
        <w:t xml:space="preserve"> </w:t>
      </w:r>
      <w:r w:rsidRPr="007E6821">
        <w:rPr>
          <w:rFonts w:ascii="Times New Roman" w:hAnsi="Times New Roman" w:cs="Times New Roman"/>
          <w:sz w:val="28"/>
          <w:szCs w:val="28"/>
        </w:rPr>
        <w:t>- привлечение к разработке, подготовке и проведению мероприятий, направленных на развитие речи участников образовательных отношений;</w:t>
      </w:r>
    </w:p>
    <w:p w:rsidR="003C6D22" w:rsidRPr="007E6821" w:rsidRDefault="003C6D22" w:rsidP="007E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21">
        <w:rPr>
          <w:rFonts w:ascii="Times New Roman" w:hAnsi="Times New Roman" w:cs="Times New Roman"/>
          <w:sz w:val="28"/>
          <w:szCs w:val="28"/>
        </w:rPr>
        <w:t>- в управлении качеством образовательного процесса - разработка «Единых требований к речевому развитию обучающихся», отбор и применение инструментария для отслеживания динамики коммуникативно-речевого развития.</w:t>
      </w:r>
    </w:p>
    <w:p w:rsidR="003C6D22" w:rsidRPr="007E6821" w:rsidRDefault="003C6D22" w:rsidP="007E682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в целом и коммуникативно-речевое развитие школьников в частности успешно проходит в сочетании урочной, внеурочной, внеклассной работы (Н.Д.Гальскова, Н.И.Гез, М.В.Кларин).  Исходя из этого, были проанализированы и отобраны соответствующие  методы формирования осознанного отношения к  </w:t>
      </w:r>
      <w:r w:rsidRPr="007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коммуникации (рассказ, беседа), методы организации коммуникативно-речевой деятельности  (этическая беседа, дискуссия, диспут), методы стимулирования коммуникативно-ориентированной деятельности и творческой активности учащихся (соревнование, конференция, проект).</w:t>
      </w:r>
    </w:p>
    <w:p w:rsidR="003C6D22" w:rsidRPr="007E6821" w:rsidRDefault="002269DA" w:rsidP="007E682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проектировании школьной модели </w:t>
      </w:r>
      <w:r w:rsidR="00B65F05"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коммуникативно-речевого развития обучающихся  мы </w:t>
      </w:r>
      <w:r w:rsidR="003C6D22"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опирались на  модели,  разработанные  и  апробированные  в  исследованиях Ж.В.Демьяновой, С.В.Копытько, Л.Н.Котиковой, С.В.Савельевой, Е.А.Цыбиной.</w:t>
      </w:r>
    </w:p>
    <w:p w:rsidR="009104A4" w:rsidRPr="007E6821" w:rsidRDefault="00B65F05" w:rsidP="007E68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Организационно-педагогическая модель</w:t>
      </w:r>
      <w:r w:rsidR="003C6D22"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коммуникативно-речев</w:t>
      </w:r>
      <w:r w:rsidR="0091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развития школьников </w:t>
      </w:r>
      <w:r w:rsidR="003C6D22" w:rsidRPr="007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единство целевого, содержательного, организационного и оценочного блоков (рис.1).</w:t>
      </w:r>
    </w:p>
    <w:p w:rsidR="003C6D22" w:rsidRPr="007E6821" w:rsidRDefault="009104A4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_x0000_s1026" editas="canvas" style="position:absolute;margin-left:55.8pt;margin-top:20.2pt;width:464.75pt;height:685.85pt;z-index:251660288;mso-position-horizontal-relative:char;mso-position-vertical-relative:line" coordorigin="1405,1142" coordsize="9295,137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05;top:1142;width:9295;height:13717" o:preferrelative="f" fillcolor="silver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60;top:10114;width:7462;height:3266" filled="f" fillcolor="#eaeaea" strokeweight="1pt">
              <v:textbox style="mso-next-textbox:#_x0000_s1028" inset="1mm,1mm,1mm,1mm">
                <w:txbxContent>
                  <w:p w:rsidR="003C6D22" w:rsidRPr="0096494D" w:rsidRDefault="003C6D22" w:rsidP="003C6D2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6494D">
                      <w:rPr>
                        <w:b/>
                        <w:sz w:val="20"/>
                        <w:szCs w:val="20"/>
                      </w:rPr>
                      <w:t>Оценочный блок</w:t>
                    </w:r>
                  </w:p>
                  <w:p w:rsidR="003C6D22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C6D22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C6D22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C6D22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C6D22" w:rsidRDefault="003C6D22" w:rsidP="003C6D22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3C6D22" w:rsidRPr="0096494D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C6D22" w:rsidRPr="00C749B8" w:rsidRDefault="003C6D22" w:rsidP="003C6D22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_x0000_s1029" style="position:absolute;left:2939;top:7054;width:1620;height:720" strokeweight="1pt"/>
            <v:shape id="_x0000_s1030" type="#_x0000_t202" style="position:absolute;left:2847;top:6514;width:7453;height:415" filled="f" fillcolor="#eaeaea" strokeweight="1pt">
              <v:textbox style="mso-next-textbox:#_x0000_s1030" inset="1mm,1mm,1mm,1mm">
                <w:txbxContent>
                  <w:p w:rsidR="003C6D22" w:rsidRPr="0096494D" w:rsidRDefault="003C6D22" w:rsidP="003C6D2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6494D">
                      <w:rPr>
                        <w:b/>
                        <w:sz w:val="20"/>
                        <w:szCs w:val="20"/>
                      </w:rPr>
                      <w:t>Организационный блок</w:t>
                    </w:r>
                  </w:p>
                  <w:p w:rsidR="003C6D22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C6D22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C6D22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C6D22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C6D22" w:rsidRDefault="003C6D22" w:rsidP="003C6D22">
                    <w:pPr>
                      <w:rPr>
                        <w:sz w:val="16"/>
                        <w:szCs w:val="16"/>
                      </w:rPr>
                    </w:pPr>
                  </w:p>
                  <w:p w:rsidR="003C6D22" w:rsidRDefault="003C6D22" w:rsidP="003C6D22">
                    <w:pPr>
                      <w:rPr>
                        <w:sz w:val="16"/>
                        <w:szCs w:val="16"/>
                      </w:rPr>
                    </w:pPr>
                  </w:p>
                  <w:p w:rsidR="003C6D22" w:rsidRPr="00E77F79" w:rsidRDefault="003C6D22" w:rsidP="003C6D22">
                    <w:pPr>
                      <w:rPr>
                        <w:sz w:val="16"/>
                        <w:szCs w:val="16"/>
                      </w:rPr>
                    </w:pPr>
                  </w:p>
                  <w:p w:rsidR="003C6D22" w:rsidRDefault="003C6D22" w:rsidP="003C6D22"/>
                </w:txbxContent>
              </v:textbox>
            </v:shape>
            <v:shape id="_x0000_s1031" type="#_x0000_t202" style="position:absolute;left:1664;top:1142;width:5248;height:605" strokeweight="1pt">
              <v:stroke dashstyle="dash"/>
              <v:textbox style="mso-next-textbox:#_x0000_s1031" inset="1mm,1mm,1mm,1mm">
                <w:txbxContent>
                  <w:p w:rsidR="003C6D22" w:rsidRPr="00215A89" w:rsidRDefault="003C6D22" w:rsidP="003C6D22">
                    <w:pPr>
                      <w:jc w:val="center"/>
                      <w:rPr>
                        <w:rFonts w:ascii="Arial Narrow" w:hAnsi="Arial Narrow"/>
                        <w:spacing w:val="-2"/>
                        <w:sz w:val="20"/>
                        <w:szCs w:val="20"/>
                      </w:rPr>
                    </w:pPr>
                    <w:r w:rsidRPr="00215A89">
                      <w:rPr>
                        <w:rFonts w:ascii="Arial Narrow" w:hAnsi="Arial Narrow"/>
                        <w:spacing w:val="-2"/>
                        <w:sz w:val="20"/>
                        <w:szCs w:val="20"/>
                      </w:rPr>
                      <w:t>Ш</w:t>
                    </w:r>
                    <w:r>
                      <w:rPr>
                        <w:rFonts w:ascii="Arial Narrow" w:hAnsi="Arial Narrow"/>
                        <w:spacing w:val="-2"/>
                        <w:sz w:val="20"/>
                        <w:szCs w:val="20"/>
                      </w:rPr>
                      <w:t>кольники с имеющимся</w:t>
                    </w:r>
                    <w:r w:rsidRPr="00215A89">
                      <w:rPr>
                        <w:rFonts w:ascii="Arial Narrow" w:hAnsi="Arial Narrow"/>
                        <w:spacing w:val="-2"/>
                        <w:sz w:val="20"/>
                        <w:szCs w:val="20"/>
                      </w:rPr>
                      <w:t xml:space="preserve"> уровнем коммуникативно-речевого развития</w:t>
                    </w:r>
                  </w:p>
                </w:txbxContent>
              </v:textbox>
            </v:shape>
            <v:shape id="_x0000_s1032" type="#_x0000_t202" style="position:absolute;left:4580;top:14074;width:6120;height:594" strokeweight="1pt">
              <v:textbox style="mso-next-textbox:#_x0000_s1032" inset="1mm,1mm,1mm,1mm">
                <w:txbxContent>
                  <w:p w:rsidR="003C6D22" w:rsidRPr="002647C2" w:rsidRDefault="003C6D22" w:rsidP="003C6D22">
                    <w:pPr>
                      <w:jc w:val="center"/>
                      <w:rPr>
                        <w:rFonts w:ascii="Arial Narrow" w:hAnsi="Arial Narrow"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pacing w:val="-2"/>
                        <w:sz w:val="20"/>
                        <w:szCs w:val="20"/>
                      </w:rPr>
                      <w:t>Школьники</w:t>
                    </w:r>
                    <w:r w:rsidRPr="002647C2">
                      <w:rPr>
                        <w:rFonts w:ascii="Arial Narrow" w:hAnsi="Arial Narrow"/>
                        <w:spacing w:val="-2"/>
                        <w:sz w:val="20"/>
                        <w:szCs w:val="20"/>
                      </w:rPr>
                      <w:t xml:space="preserve"> с </w:t>
                    </w:r>
                    <w:r>
                      <w:rPr>
                        <w:rFonts w:ascii="Arial Narrow" w:hAnsi="Arial Narrow"/>
                        <w:spacing w:val="-2"/>
                        <w:sz w:val="20"/>
                        <w:szCs w:val="20"/>
                      </w:rPr>
                      <w:t>требуемым уровнем коммуникативно-речевого развития</w:t>
                    </w:r>
                  </w:p>
                </w:txbxContent>
              </v:textbox>
            </v:shape>
            <v:rect id="_x0000_s1033" style="position:absolute;left:2726;top:1862;width:7728;height:12199" filled="f" fillcolor="#ddd" strokeweight="1.5pt"/>
            <v:shape id="_x0000_s1034" type="#_x0000_t202" style="position:absolute;left:1562;top:1912;width:867;height:12947" strokeweight="1pt">
              <v:textbox style="layout-flow:vertical;mso-layout-flow-alt:bottom-to-top;mso-next-textbox:#_x0000_s1034" inset="1mm,1mm,1mm,1mm">
                <w:txbxContent>
                  <w:p w:rsidR="003C6D22" w:rsidRPr="007E7FD6" w:rsidRDefault="009104A4" w:rsidP="003C6D22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126E35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Педагогические условия:</w:t>
                    </w:r>
                    <w: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 </w:t>
                    </w:r>
                    <w:r w:rsidRPr="00126E35">
                      <w:rPr>
                        <w:sz w:val="16"/>
                        <w:szCs w:val="16"/>
                      </w:rPr>
                      <w:t>деятельностный, личностно-ориентированный и компетентностный подход</w:t>
                    </w:r>
                    <w:r>
                      <w:rPr>
                        <w:sz w:val="16"/>
                        <w:szCs w:val="16"/>
                      </w:rPr>
                      <w:t xml:space="preserve">ов основе процесса обучения; </w:t>
                    </w:r>
                    <w:r w:rsidRPr="00126E35">
                      <w:rPr>
                        <w:sz w:val="16"/>
                        <w:szCs w:val="16"/>
                      </w:rPr>
                      <w:t>пед</w:t>
                    </w:r>
                    <w:r>
                      <w:rPr>
                        <w:sz w:val="16"/>
                        <w:szCs w:val="16"/>
                      </w:rPr>
                      <w:t>агогическая поддержка</w:t>
                    </w:r>
                    <w:r w:rsidRPr="00126E35">
                      <w:rPr>
                        <w:sz w:val="16"/>
                        <w:szCs w:val="16"/>
                      </w:rPr>
                      <w:t xml:space="preserve">, направленная на развитие у </w:t>
                    </w:r>
                    <w:r>
                      <w:rPr>
                        <w:sz w:val="16"/>
                        <w:szCs w:val="16"/>
                      </w:rPr>
                      <w:t>школьников готовности к ККР,  мотивационно-ценностному отношению</w:t>
                    </w:r>
                    <w:r w:rsidRPr="00126E35">
                      <w:rPr>
                        <w:sz w:val="16"/>
                        <w:szCs w:val="16"/>
                      </w:rPr>
                      <w:t xml:space="preserve"> к</w:t>
                    </w:r>
                    <w:r>
                      <w:rPr>
                        <w:sz w:val="16"/>
                        <w:szCs w:val="16"/>
                      </w:rPr>
                      <w:t xml:space="preserve"> коммуникативной деятельности; </w:t>
                    </w:r>
                    <w:r w:rsidRPr="007E7FD6">
                      <w:rPr>
                        <w:sz w:val="16"/>
                        <w:szCs w:val="16"/>
                      </w:rPr>
                      <w:t xml:space="preserve">включение </w:t>
                    </w:r>
                    <w:r>
                      <w:rPr>
                        <w:sz w:val="16"/>
                        <w:szCs w:val="16"/>
                      </w:rPr>
                      <w:t>коммуникативного компонента</w:t>
                    </w:r>
                    <w:r w:rsidRPr="00126E35">
                      <w:rPr>
                        <w:sz w:val="16"/>
                        <w:szCs w:val="16"/>
                      </w:rPr>
                      <w:t xml:space="preserve"> в содержание и методы обучения </w:t>
                    </w:r>
                    <w:r>
                      <w:rPr>
                        <w:sz w:val="16"/>
                        <w:szCs w:val="16"/>
                      </w:rPr>
                      <w:t>и дисиплинах</w:t>
                    </w:r>
                    <w:r w:rsidRPr="00126E35">
                      <w:rPr>
                        <w:sz w:val="16"/>
                        <w:szCs w:val="16"/>
                      </w:rPr>
                      <w:t>;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7E7FD6">
                      <w:rPr>
                        <w:sz w:val="16"/>
                        <w:szCs w:val="16"/>
                      </w:rPr>
                      <w:t>создан</w:t>
                    </w:r>
                    <w:r>
                      <w:rPr>
                        <w:sz w:val="16"/>
                        <w:szCs w:val="16"/>
                      </w:rPr>
                      <w:t>ие и использование педагогического инструментария</w:t>
                    </w:r>
                    <w:r w:rsidRPr="007E7FD6">
                      <w:rPr>
                        <w:sz w:val="16"/>
                        <w:szCs w:val="16"/>
                      </w:rPr>
                      <w:t xml:space="preserve"> для мониторинга и измерения уровня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7E7FD6">
                      <w:rPr>
                        <w:sz w:val="16"/>
                        <w:szCs w:val="16"/>
                      </w:rPr>
                      <w:t>коммуникат</w:t>
                    </w:r>
                    <w:r>
                      <w:rPr>
                        <w:sz w:val="16"/>
                        <w:szCs w:val="16"/>
                      </w:rPr>
                      <w:t>ивно-речевого развития учащихся</w:t>
                    </w:r>
                  </w:p>
                  <w:p w:rsidR="003C6D22" w:rsidRPr="00371FED" w:rsidRDefault="003C6D22" w:rsidP="003C6D22">
                    <w:pPr>
                      <w:spacing w:line="216" w:lineRule="auto"/>
                      <w:jc w:val="both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_x0000_s1035" style="position:absolute" from="2426,3842" to="2743,3843" strokeweight="2pt">
              <v:stroke endarrow="classic" endarrowwidth="narrow" endarrowlength="short"/>
            </v:line>
            <v:line id="_x0000_s1036" style="position:absolute" from="2426,7802" to="2743,7808" strokeweight="2pt">
              <v:stroke endarrow="classic" endarrowwidth="narrow" endarrowlength="short"/>
            </v:line>
            <v:line id="_x0000_s1037" style="position:absolute;flip:y" from="2429,12286" to="2743,12287" strokeweight="2pt">
              <v:stroke endarrow="classic" endarrowwidth="narrow" endarrowlength="short"/>
            </v:line>
            <v:line id="_x0000_s1038" style="position:absolute" from="6912,1417" to="7495,1417" strokeweight="1.5pt"/>
            <v:line id="_x0000_s1039" style="position:absolute" from="7483,1417" to="7484,1901" strokeweight="1.5pt">
              <v:stroke endarrow="block" endarrowwidth="narrow" endarrowlength="long"/>
            </v:line>
            <v:line id="_x0000_s1040" style="position:absolute" from="5306,14254" to="5306,14254"/>
            <v:line id="_x0000_s1041" style="position:absolute" from="4019,14074" to="4020,14557" strokeweight="1.5pt"/>
            <v:line id="_x0000_s1042" style="position:absolute" from="4019,14614" to="4580,14615" strokeweight="1.5pt">
              <v:stroke endarrow="block" endarrowwidth="narrow" endarrowlength="long"/>
            </v:line>
            <v:shape id="_x0000_s1043" type="#_x0000_t202" style="position:absolute;left:2942;top:2144;width:7381;height:1815" filled="f" fillcolor="#eaeaea" strokeweight="1pt">
              <v:textbox style="mso-next-textbox:#_x0000_s1043" inset="1mm,1mm,1mm,1mm">
                <w:txbxContent>
                  <w:p w:rsidR="003C6D22" w:rsidRPr="0096494D" w:rsidRDefault="003C6D22" w:rsidP="003C6D2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6494D">
                      <w:rPr>
                        <w:b/>
                        <w:sz w:val="20"/>
                        <w:szCs w:val="20"/>
                      </w:rPr>
                      <w:t>Целевой блок</w:t>
                    </w:r>
                  </w:p>
                  <w:p w:rsidR="003C6D22" w:rsidRDefault="003C6D22" w:rsidP="003C6D22">
                    <w:pPr>
                      <w:spacing w:line="216" w:lineRule="auto"/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3C6D22" w:rsidRPr="0008719A" w:rsidRDefault="003C6D22" w:rsidP="003C6D22">
                    <w:pPr>
                      <w:spacing w:line="216" w:lineRule="auto"/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3C6D22" w:rsidRDefault="003C6D22" w:rsidP="003C6D22">
                    <w:pPr>
                      <w:spacing w:line="216" w:lineRule="auto"/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44" type="#_x0000_t202" style="position:absolute;left:2942;top:2504;width:2340;height:1440" strokeweight="1pt">
              <v:textbox style="mso-next-textbox:#_x0000_s1044" inset="1mm,1mm,1mm,1mm">
                <w:txbxContent>
                  <w:p w:rsidR="003C6D22" w:rsidRPr="003F6ACC" w:rsidRDefault="003C6D22" w:rsidP="003C6D22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941296">
                      <w:rPr>
                        <w:b/>
                        <w:sz w:val="12"/>
                        <w:szCs w:val="12"/>
                      </w:rPr>
                      <w:t>Социальный заказ</w:t>
                    </w:r>
                  </w:p>
                  <w:p w:rsidR="003C6D22" w:rsidRPr="00941296" w:rsidRDefault="003C6D22" w:rsidP="003C6D22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формирование коммуникативно-речевой </w:t>
                    </w:r>
                    <w:r w:rsidRPr="00941296">
                      <w:rPr>
                        <w:sz w:val="12"/>
                        <w:szCs w:val="12"/>
                      </w:rPr>
                      <w:t xml:space="preserve">школьника, обеспечивающей </w:t>
                    </w:r>
                    <w:r>
                      <w:rPr>
                        <w:sz w:val="12"/>
                        <w:szCs w:val="12"/>
                      </w:rPr>
                      <w:t xml:space="preserve">полноценное развитие  и социализацию личности </w:t>
                    </w:r>
                  </w:p>
                </w:txbxContent>
              </v:textbox>
            </v:shape>
            <v:shape id="_x0000_s1045" type="#_x0000_t202" style="position:absolute;left:7982;top:2504;width:2340;height:1440" strokeweight="1pt">
              <v:textbox style="mso-next-textbox:#_x0000_s1045" inset="1mm,1mm,1mm,1mm">
                <w:txbxContent>
                  <w:p w:rsidR="003C6D22" w:rsidRDefault="003C6D22" w:rsidP="003C6D22">
                    <w:pPr>
                      <w:jc w:val="center"/>
                      <w:rPr>
                        <w:b/>
                        <w:color w:val="000000"/>
                        <w:sz w:val="12"/>
                        <w:szCs w:val="12"/>
                      </w:rPr>
                    </w:pPr>
                    <w:r w:rsidRPr="00941296">
                      <w:rPr>
                        <w:b/>
                        <w:color w:val="000000"/>
                        <w:sz w:val="12"/>
                        <w:szCs w:val="12"/>
                      </w:rPr>
                      <w:t>Образовательная цель</w:t>
                    </w:r>
                  </w:p>
                  <w:p w:rsidR="003C6D22" w:rsidRPr="003F6ACC" w:rsidRDefault="003C6D22" w:rsidP="003C6D22">
                    <w:pPr>
                      <w:jc w:val="center"/>
                      <w:rPr>
                        <w:b/>
                        <w:color w:val="000000"/>
                        <w:sz w:val="12"/>
                        <w:szCs w:val="12"/>
                      </w:rPr>
                    </w:pPr>
                    <w:r w:rsidRPr="00941296">
                      <w:rPr>
                        <w:sz w:val="12"/>
                        <w:szCs w:val="12"/>
                      </w:rPr>
                      <w:t>формирование умений диалогической и монологической речи, ведения дискуссии, участия в ролевой</w:t>
                    </w:r>
                    <w:r>
                      <w:rPr>
                        <w:sz w:val="12"/>
                        <w:szCs w:val="12"/>
                      </w:rPr>
                      <w:t>/дидактической</w:t>
                    </w:r>
                    <w:r w:rsidRPr="00941296">
                      <w:rPr>
                        <w:sz w:val="12"/>
                        <w:szCs w:val="12"/>
                      </w:rPr>
                      <w:t xml:space="preserve"> игре, подгот</w:t>
                    </w:r>
                    <w:r>
                      <w:rPr>
                        <w:sz w:val="12"/>
                        <w:szCs w:val="12"/>
                      </w:rPr>
                      <w:t xml:space="preserve">овки и представления проекта, решения различных коммуникативных задач </w:t>
                    </w:r>
                  </w:p>
                </w:txbxContent>
              </v:textbox>
            </v:shape>
            <v:shape id="_x0000_s1046" type="#_x0000_t202" style="position:absolute;left:5282;top:2504;width:2700;height:1446" strokeweight="1pt">
              <v:textbox style="mso-next-textbox:#_x0000_s1046" inset="1mm,1mm,1mm,1mm">
                <w:txbxContent>
                  <w:p w:rsidR="003C6D22" w:rsidRDefault="003C6D22" w:rsidP="003C6D22">
                    <w:pPr>
                      <w:jc w:val="center"/>
                      <w:rPr>
                        <w:b/>
                        <w:color w:val="000000"/>
                        <w:sz w:val="11"/>
                        <w:szCs w:val="11"/>
                      </w:rPr>
                    </w:pPr>
                    <w:r w:rsidRPr="00941296">
                      <w:rPr>
                        <w:b/>
                        <w:color w:val="000000"/>
                        <w:sz w:val="11"/>
                        <w:szCs w:val="11"/>
                      </w:rPr>
                      <w:t>Общепедагогические цели</w:t>
                    </w:r>
                  </w:p>
                  <w:p w:rsidR="003C6D22" w:rsidRPr="000A3273" w:rsidRDefault="003C6D22" w:rsidP="003C6D22">
                    <w:pPr>
                      <w:jc w:val="center"/>
                      <w:rPr>
                        <w:b/>
                        <w:color w:val="000000"/>
                        <w:sz w:val="11"/>
                        <w:szCs w:val="11"/>
                      </w:rPr>
                    </w:pPr>
                    <w:r w:rsidRPr="00941296">
                      <w:rPr>
                        <w:sz w:val="11"/>
                        <w:szCs w:val="11"/>
                      </w:rPr>
                      <w:t>развитие речевой способности; формирование мо</w:t>
                    </w:r>
                    <w:r>
                      <w:rPr>
                        <w:sz w:val="11"/>
                        <w:szCs w:val="11"/>
                      </w:rPr>
                      <w:t>-</w:t>
                    </w:r>
                    <w:r w:rsidRPr="00941296">
                      <w:rPr>
                        <w:sz w:val="11"/>
                        <w:szCs w:val="11"/>
                      </w:rPr>
                      <w:t>тивации к учебно-познавательной деятельности;  развитие психических процессов, лежащи</w:t>
                    </w:r>
                    <w:r>
                      <w:rPr>
                        <w:sz w:val="11"/>
                        <w:szCs w:val="11"/>
                      </w:rPr>
                      <w:t>х в основе овладения и</w:t>
                    </w:r>
                    <w:r w:rsidR="007E6821">
                      <w:rPr>
                        <w:sz w:val="11"/>
                        <w:szCs w:val="11"/>
                      </w:rPr>
                      <w:t xml:space="preserve"> </w:t>
                    </w:r>
                    <w:r w:rsidRPr="00941296">
                      <w:rPr>
                        <w:sz w:val="11"/>
                        <w:szCs w:val="11"/>
                      </w:rPr>
                      <w:t>коммуникативной деятель</w:t>
                    </w:r>
                    <w:r>
                      <w:rPr>
                        <w:sz w:val="11"/>
                        <w:szCs w:val="11"/>
                      </w:rPr>
                      <w:t>ностью</w:t>
                    </w:r>
                  </w:p>
                  <w:p w:rsidR="003C6D22" w:rsidRPr="00941296" w:rsidRDefault="003C6D22" w:rsidP="003C6D22">
                    <w:pPr>
                      <w:jc w:val="center"/>
                      <w:rPr>
                        <w:rFonts w:ascii="Arial Narrow" w:hAnsi="Arial Narrow"/>
                        <w:sz w:val="11"/>
                        <w:szCs w:val="11"/>
                      </w:rPr>
                    </w:pPr>
                  </w:p>
                </w:txbxContent>
              </v:textbox>
            </v:shape>
            <v:line id="_x0000_s1047" style="position:absolute" from="2743,2979" to="2885,2980" strokeweight="2pt">
              <v:stroke endarrow="classic" endarrowwidth="narrow" endarrowlength="short"/>
            </v:line>
            <v:line id="_x0000_s1048" style="position:absolute;flip:y" from="10311,2902" to="10453,2903" strokeweight="2pt"/>
            <v:shape id="_x0000_s1049" type="#_x0000_t202" style="position:absolute;left:2942;top:4124;width:7380;height:342" filled="f" fillcolor="#eaeaea" strokeweight="1pt">
              <v:textbox style="mso-next-textbox:#_x0000_s1049" inset="1mm,1mm,1mm,1mm">
                <w:txbxContent>
                  <w:p w:rsidR="003C6D22" w:rsidRPr="00941296" w:rsidRDefault="003C6D22" w:rsidP="003C6D2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41296">
                      <w:rPr>
                        <w:b/>
                        <w:sz w:val="20"/>
                        <w:szCs w:val="20"/>
                      </w:rPr>
                      <w:t>Содержательный блок</w:t>
                    </w:r>
                  </w:p>
                  <w:p w:rsidR="003C6D22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C6D22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C6D22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C6D22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C6D22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C6D22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C6D22" w:rsidRPr="00271AEE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C6D22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C6D22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C6D22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C6D22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C6D22" w:rsidRPr="00271AEE" w:rsidRDefault="003C6D22" w:rsidP="003C6D22">
                    <w:pPr>
                      <w:ind w:firstLine="284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3C6D22" w:rsidRPr="002D515A" w:rsidRDefault="003C6D22" w:rsidP="003C6D22">
                    <w:pPr>
                      <w:spacing w:line="216" w:lineRule="auto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3C6D22" w:rsidRDefault="003C6D22" w:rsidP="003C6D22">
                    <w:pPr>
                      <w:spacing w:line="216" w:lineRule="auto"/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50" type="#_x0000_t202" style="position:absolute;left:2942;top:4450;width:7380;height:419" strokeweight="1pt">
              <v:textbox style="mso-next-textbox:#_x0000_s1050">
                <w:txbxContent>
                  <w:p w:rsidR="003C6D22" w:rsidRPr="0096494D" w:rsidRDefault="003C6D22" w:rsidP="003C6D22">
                    <w:pPr>
                      <w:jc w:val="center"/>
                      <w:rPr>
                        <w:b/>
                      </w:rPr>
                    </w:pPr>
                    <w:r w:rsidRPr="0096494D">
                      <w:rPr>
                        <w:b/>
                        <w:sz w:val="18"/>
                        <w:szCs w:val="18"/>
                      </w:rPr>
                      <w:t>Структурные компоненты коммуникативно-речевого развития</w:t>
                    </w:r>
                  </w:p>
                </w:txbxContent>
              </v:textbox>
            </v:shape>
            <v:shape id="_x0000_s1051" type="#_x0000_t202" style="position:absolute;left:2942;top:4844;width:2160;height:1620" strokeweight="1pt">
              <v:textbox style="mso-next-textbox:#_x0000_s1051" inset="1mm,1mm,1mm,1mm">
                <w:txbxContent>
                  <w:p w:rsidR="003C6D22" w:rsidRPr="00622EA7" w:rsidRDefault="003C6D22" w:rsidP="003C6D22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622EA7">
                      <w:rPr>
                        <w:b/>
                        <w:sz w:val="14"/>
                        <w:szCs w:val="14"/>
                      </w:rPr>
                      <w:t>Мотивационно-ценностный</w:t>
                    </w:r>
                  </w:p>
                  <w:p w:rsidR="003C6D22" w:rsidRPr="009104A4" w:rsidRDefault="009104A4" w:rsidP="003C6D22">
                    <w:pPr>
                      <w:pStyle w:val="1"/>
                      <w:shd w:val="clear" w:color="auto" w:fill="FFFFFF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4"/>
                        <w:szCs w:val="14"/>
                      </w:rPr>
                      <w:t>ц</w:t>
                    </w:r>
                    <w:r w:rsidR="003C6D22" w:rsidRPr="009104A4">
                      <w:rPr>
                        <w:sz w:val="12"/>
                        <w:szCs w:val="12"/>
                      </w:rPr>
                      <w:t xml:space="preserve">енностные установки, определяющие поведение говорящего, мотивационная  направленность на </w:t>
                    </w:r>
                    <w:r>
                      <w:rPr>
                        <w:sz w:val="12"/>
                        <w:szCs w:val="12"/>
                      </w:rPr>
                      <w:t>коммуни</w:t>
                    </w:r>
                    <w:r w:rsidR="003C6D22" w:rsidRPr="009104A4">
                      <w:rPr>
                        <w:sz w:val="12"/>
                        <w:szCs w:val="12"/>
                      </w:rPr>
                      <w:t>кативно-речевое развитие и саморазвитие</w:t>
                    </w:r>
                  </w:p>
                  <w:p w:rsidR="003C6D22" w:rsidRPr="00622EA7" w:rsidRDefault="003C6D22" w:rsidP="003C6D22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052" type="#_x0000_t202" style="position:absolute;left:5102;top:4844;width:1800;height:1620" strokeweight="1pt">
              <v:textbox style="mso-next-textbox:#_x0000_s1052">
                <w:txbxContent>
                  <w:p w:rsidR="003C6D22" w:rsidRPr="00622EA7" w:rsidRDefault="003C6D22" w:rsidP="003C6D22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622EA7">
                      <w:rPr>
                        <w:b/>
                        <w:sz w:val="14"/>
                        <w:szCs w:val="14"/>
                      </w:rPr>
                      <w:t>Когнитивный</w:t>
                    </w:r>
                  </w:p>
                  <w:p w:rsidR="003C6D22" w:rsidRPr="009104A4" w:rsidRDefault="003C6D22" w:rsidP="003C6D2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9104A4">
                      <w:rPr>
                        <w:sz w:val="12"/>
                        <w:szCs w:val="12"/>
                      </w:rPr>
                      <w:t xml:space="preserve">знание норм и правил   эффективной коммуникации, речевого этикета </w:t>
                    </w:r>
                  </w:p>
                </w:txbxContent>
              </v:textbox>
            </v:shape>
            <v:shape id="_x0000_s1053" type="#_x0000_t202" style="position:absolute;left:6902;top:4844;width:1800;height:1620" strokeweight="1pt">
              <v:textbox style="mso-next-textbox:#_x0000_s1053" inset="1mm,1mm,1mm,1mm">
                <w:txbxContent>
                  <w:p w:rsidR="003C6D22" w:rsidRDefault="003C6D22" w:rsidP="003C6D22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622EA7">
                      <w:rPr>
                        <w:b/>
                        <w:sz w:val="14"/>
                        <w:szCs w:val="14"/>
                      </w:rPr>
                      <w:t>Конативный</w:t>
                    </w:r>
                  </w:p>
                  <w:p w:rsidR="003C6D22" w:rsidRPr="009104A4" w:rsidRDefault="003C6D22" w:rsidP="003C6D22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9104A4">
                      <w:rPr>
                        <w:sz w:val="12"/>
                        <w:szCs w:val="12"/>
                      </w:rPr>
                      <w:t>различные коммуникативные умения, необходимые  для эффективной коммуникации на родном и иностранном языках</w:t>
                    </w:r>
                  </w:p>
                  <w:p w:rsidR="003C6D22" w:rsidRPr="00622EA7" w:rsidRDefault="003C6D22" w:rsidP="003C6D22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054" type="#_x0000_t202" style="position:absolute;left:8879;top:10654;width:401;height:2622" strokeweight="1pt">
              <v:textbox style="layout-flow:vertical;mso-layout-flow-alt:bottom-to-top;mso-next-textbox:#_x0000_s1054" inset="1mm,1mm,1mm,1mm">
                <w:txbxContent>
                  <w:p w:rsidR="003C6D22" w:rsidRPr="0096494D" w:rsidRDefault="003C6D22" w:rsidP="003C6D22">
                    <w:pPr>
                      <w:jc w:val="center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96494D">
                      <w:rPr>
                        <w:b/>
                        <w:sz w:val="18"/>
                        <w:szCs w:val="18"/>
                      </w:rPr>
                      <w:t>Уровни</w:t>
                    </w:r>
                  </w:p>
                </w:txbxContent>
              </v:textbox>
            </v:shape>
            <v:shape id="_x0000_s1055" type="#_x0000_t202" style="position:absolute;left:9242;top:10654;width:1080;height:850" strokeweight="1pt">
              <v:textbox style="mso-next-textbox:#_x0000_s1055" inset="1mm,2mm,1mm,2mm">
                <w:txbxContent>
                  <w:p w:rsidR="003C6D22" w:rsidRDefault="003C6D22" w:rsidP="003C6D22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3C6D22" w:rsidRPr="00BB72E7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B72E7">
                      <w:rPr>
                        <w:sz w:val="14"/>
                        <w:szCs w:val="14"/>
                      </w:rPr>
                      <w:t>Высокий</w:t>
                    </w:r>
                  </w:p>
                </w:txbxContent>
              </v:textbox>
            </v:shape>
            <v:shape id="_x0000_s1056" type="#_x0000_t202" style="position:absolute;left:3062;top:13440;width:7040;height:473" strokeweight="1pt">
              <v:textbox style="mso-next-textbox:#_x0000_s1056" inset="1mm,2mm,1mm,2mm">
                <w:txbxContent>
                  <w:p w:rsidR="003C6D22" w:rsidRPr="00524E39" w:rsidRDefault="003C6D22" w:rsidP="003C6D22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1C5139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Результат</w:t>
                    </w:r>
                    <w:r w:rsidRPr="001C513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: </w:t>
                    </w:r>
                    <w:r w:rsidRPr="00524E39">
                      <w:rPr>
                        <w:rFonts w:ascii="Arial Narrow" w:hAnsi="Arial Narrow"/>
                        <w:sz w:val="16"/>
                        <w:szCs w:val="16"/>
                      </w:rPr>
                      <w:t>средний/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высокий уровень коммуникативно-речевого развития школьников</w:t>
                    </w:r>
                  </w:p>
                </w:txbxContent>
              </v:textbox>
            </v:shape>
            <v:line id="_x0000_s1057" style="position:absolute" from="2722,11591" to="2864,11592" strokeweight="2pt">
              <v:stroke endarrow="classic" endarrowwidth="narrow" endarrowlength="short"/>
            </v:line>
            <v:line id="_x0000_s1058" style="position:absolute;flip:y" from="2732,5304" to="2892,5311" strokeweight="2pt">
              <v:stroke endarrow="classic" endarrowwidth="narrow" endarrowlength="short"/>
            </v:line>
            <v:line id="_x0000_s1059" style="position:absolute" from="2732,8654" to="2874,8655" strokeweight="2pt">
              <v:stroke endarrow="classic" endarrowwidth="narrow" endarrowlength="short"/>
            </v:line>
            <v:line id="_x0000_s1060" style="position:absolute;flip:y" from="10300,5410" to="10442,5411" strokeweight="2pt"/>
            <v:line id="_x0000_s1061" style="position:absolute;flip:y" from="10311,8215" to="10453,8216" strokeweight="2pt"/>
            <v:line id="_x0000_s1062" style="position:absolute;flip:y" from="10322,11864" to="10464,11865" strokeweight="2pt"/>
            <v:line id="_x0000_s1063" style="position:absolute" from="2710,13692" to="3050,13693" strokeweight="2pt">
              <v:stroke endarrow="classic" endarrowwidth="narrow" endarrowlength="short"/>
            </v:line>
            <v:line id="_x0000_s1064" style="position:absolute" from="10092,13692" to="10432,13693" strokeweight="2pt">
              <v:stroke startarrow="classic" startarrowwidth="narrow" startarrowlength="short"/>
            </v:line>
            <v:shape id="_x0000_s1065" type="#_x0000_t202" style="position:absolute;left:2887;top:7141;width:1630;height:681" filled="f" stroked="f">
              <v:textbox style="mso-next-textbox:#_x0000_s1065" inset="0,0,0,0">
                <w:txbxContent>
                  <w:p w:rsidR="003C6D22" w:rsidRDefault="003C6D22" w:rsidP="003C6D22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CD7A11">
                      <w:rPr>
                        <w:b/>
                        <w:sz w:val="12"/>
                        <w:szCs w:val="12"/>
                      </w:rPr>
                      <w:t xml:space="preserve">Организационный </w:t>
                    </w:r>
                  </w:p>
                  <w:p w:rsidR="003C6D22" w:rsidRPr="00CD7A11" w:rsidRDefault="003C6D22" w:rsidP="003C6D22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CD7A11">
                      <w:rPr>
                        <w:b/>
                        <w:sz w:val="12"/>
                        <w:szCs w:val="12"/>
                      </w:rPr>
                      <w:t>компонент</w:t>
                    </w:r>
                  </w:p>
                </w:txbxContent>
              </v:textbox>
            </v:shape>
            <v:shape id="_x0000_s1066" type="#_x0000_t202" style="position:absolute;left:2939;top:7954;width:903;height:900" strokeweight="1pt">
              <v:textbox style="mso-next-textbox:#_x0000_s1066" inset="1.5mm,2mm,1.5mm,2mm">
                <w:txbxContent>
                  <w:p w:rsidR="003C6D22" w:rsidRPr="007C13FA" w:rsidRDefault="003C6D22" w:rsidP="003C6D22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7C13FA">
                      <w:rPr>
                        <w:b/>
                        <w:sz w:val="14"/>
                        <w:szCs w:val="14"/>
                      </w:rPr>
                      <w:t>Виды деятель</w:t>
                    </w:r>
                    <w:r>
                      <w:rPr>
                        <w:b/>
                        <w:sz w:val="14"/>
                        <w:szCs w:val="14"/>
                      </w:rPr>
                      <w:t>-</w:t>
                    </w:r>
                    <w:r w:rsidRPr="007C13FA">
                      <w:rPr>
                        <w:b/>
                        <w:sz w:val="14"/>
                        <w:szCs w:val="14"/>
                      </w:rPr>
                      <w:t>ности</w:t>
                    </w:r>
                  </w:p>
                </w:txbxContent>
              </v:textbox>
            </v:shape>
            <v:shape id="_x0000_s1067" type="#_x0000_t202" style="position:absolute;left:2939;top:9034;width:903;height:900" strokeweight="1pt">
              <v:textbox style="mso-next-textbox:#_x0000_s1067" inset="1mm,2mm,1mm,2mm">
                <w:txbxContent>
                  <w:p w:rsidR="003C6D22" w:rsidRPr="007C13FA" w:rsidRDefault="003C6D22" w:rsidP="003C6D2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7C13FA">
                      <w:rPr>
                        <w:b/>
                        <w:sz w:val="12"/>
                        <w:szCs w:val="12"/>
                      </w:rPr>
                      <w:t>Методы обучения</w:t>
                    </w:r>
                    <w:r w:rsidR="00B65F05">
                      <w:rPr>
                        <w:b/>
                        <w:sz w:val="12"/>
                        <w:szCs w:val="12"/>
                      </w:rPr>
                      <w:t>, технологии</w:t>
                    </w:r>
                    <w:r w:rsidRPr="007C13FA">
                      <w:rPr>
                        <w:b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  <v:line id="_x0000_s1068" style="position:absolute;rotation:90" from="3341,7881" to="3511,7882">
              <v:stroke endarrow="classic" endarrowwidth="narrow" endarrowlength="short"/>
            </v:line>
            <v:shape id="_x0000_s1069" type="#_x0000_t202" style="position:absolute;left:5642;top:12764;width:3240;height:516" strokeweight="1pt">
              <v:textbox style="mso-next-textbox:#_x0000_s1069" inset="1mm,.5mm,1mm,.5mm">
                <w:txbxContent>
                  <w:p w:rsidR="003C6D22" w:rsidRPr="00BB72E7" w:rsidRDefault="003C6D22" w:rsidP="003C6D2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BB72E7">
                      <w:rPr>
                        <w:sz w:val="14"/>
                        <w:szCs w:val="14"/>
                      </w:rPr>
                      <w:t>Уровень эмпатии, уровень умения слушать,             уровень самоконтроля в общении</w:t>
                    </w:r>
                  </w:p>
                </w:txbxContent>
              </v:textbox>
            </v:shape>
            <v:shape id="_x0000_s1070" type="#_x0000_t202" style="position:absolute;left:3302;top:12764;width:1980;height:512" strokeweight="1pt">
              <v:textbox style="mso-next-textbox:#_x0000_s1070" inset="1mm,.5mm,1mm,.5mm">
                <w:txbxContent>
                  <w:p w:rsidR="003C6D22" w:rsidRPr="00BB72E7" w:rsidRDefault="003C6D22" w:rsidP="003C6D2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BB72E7">
                      <w:rPr>
                        <w:sz w:val="14"/>
                        <w:szCs w:val="14"/>
                      </w:rPr>
                      <w:t>К</w:t>
                    </w:r>
                    <w:r>
                      <w:rPr>
                        <w:sz w:val="14"/>
                        <w:szCs w:val="14"/>
                      </w:rPr>
                      <w:t xml:space="preserve">ультура </w:t>
                    </w:r>
                    <w:r w:rsidRPr="00BB72E7">
                      <w:rPr>
                        <w:sz w:val="14"/>
                        <w:szCs w:val="14"/>
                      </w:rPr>
                      <w:t>общения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  <v:shape id="_x0000_s1071" type="#_x0000_t202" style="position:absolute;left:9242;top:11504;width:1080;height:900" strokeweight="1pt">
              <v:textbox style="mso-next-textbox:#_x0000_s1071" inset="1mm,2mm,1mm,2mm">
                <w:txbxContent>
                  <w:p w:rsidR="003C6D22" w:rsidRPr="00941296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C6D22" w:rsidRPr="00941296" w:rsidRDefault="003C6D22" w:rsidP="003C6D2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41296">
                      <w:rPr>
                        <w:sz w:val="14"/>
                        <w:szCs w:val="14"/>
                      </w:rPr>
                      <w:t>Средний</w:t>
                    </w:r>
                  </w:p>
                </w:txbxContent>
              </v:textbox>
            </v:shape>
            <v:shape id="_x0000_s1072" type="#_x0000_t202" style="position:absolute;left:9242;top:12404;width:1080;height:872" strokeweight="1pt">
              <v:textbox style="mso-next-textbox:#_x0000_s1072" inset="1mm,2mm,1mm,2mm">
                <w:txbxContent>
                  <w:p w:rsidR="003C6D22" w:rsidRPr="00941296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C6D22" w:rsidRPr="00941296" w:rsidRDefault="003C6D22" w:rsidP="003C6D2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41296">
                      <w:rPr>
                        <w:sz w:val="14"/>
                        <w:szCs w:val="14"/>
                      </w:rPr>
                      <w:t>Низкий</w:t>
                    </w:r>
                  </w:p>
                  <w:p w:rsidR="003C6D22" w:rsidRPr="00941296" w:rsidRDefault="003C6D22" w:rsidP="003C6D22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073" type="#_x0000_t202" style="position:absolute;left:8702;top:4844;width:1620;height:1620" strokeweight="1pt">
              <v:textbox style="mso-next-textbox:#_x0000_s1073" inset="1mm,1mm,1mm,1mm">
                <w:txbxContent>
                  <w:p w:rsidR="003C6D22" w:rsidRPr="00622EA7" w:rsidRDefault="003C6D22" w:rsidP="003C6D22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622EA7">
                      <w:rPr>
                        <w:b/>
                        <w:sz w:val="14"/>
                        <w:szCs w:val="14"/>
                      </w:rPr>
                      <w:t>Аффективный</w:t>
                    </w:r>
                  </w:p>
                  <w:p w:rsidR="003C6D22" w:rsidRPr="009104A4" w:rsidRDefault="003C6D22" w:rsidP="003C6D2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9104A4">
                      <w:rPr>
                        <w:sz w:val="12"/>
                        <w:szCs w:val="12"/>
                      </w:rPr>
                      <w:t>уровень эмпатии, слушания, самоконтроля в общении</w:t>
                    </w:r>
                  </w:p>
                  <w:p w:rsidR="003C6D22" w:rsidRPr="00622EA7" w:rsidRDefault="003C6D22" w:rsidP="003C6D22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074" type="#_x0000_t202" style="position:absolute;left:3302;top:12044;width:1980;height:720" strokeweight="1pt">
              <v:textbox style="mso-next-textbox:#_x0000_s1074" inset="1mm,.5mm,1mm,.5mm">
                <w:txbxContent>
                  <w:p w:rsidR="003C6D22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B72E7">
                      <w:rPr>
                        <w:sz w:val="16"/>
                        <w:szCs w:val="16"/>
                      </w:rPr>
                      <w:t>Уровень развития коммуникативных умений</w:t>
                    </w:r>
                  </w:p>
                  <w:p w:rsidR="003C6D22" w:rsidRPr="00BB72E7" w:rsidRDefault="003C6D22" w:rsidP="003C6D2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5" type="#_x0000_t202" style="position:absolute;left:3302;top:11333;width:1980;height:711" strokeweight="1pt">
              <v:textbox style="mso-next-textbox:#_x0000_s1075" inset="1mm,.5mm,1mm,.5mm">
                <w:txbxContent>
                  <w:p w:rsidR="003C6D22" w:rsidRPr="00BB72E7" w:rsidRDefault="003C6D22" w:rsidP="003C6D2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BB72E7">
                      <w:rPr>
                        <w:sz w:val="14"/>
                        <w:szCs w:val="14"/>
                      </w:rPr>
                      <w:t>Теоретическое понимание сущности коммуникативно-речевого развития</w:t>
                    </w:r>
                  </w:p>
                </w:txbxContent>
              </v:textbox>
            </v:shape>
            <v:shape id="_x0000_s1076" type="#_x0000_t202" style="position:absolute;left:3302;top:10654;width:1980;height:670" strokeweight="1pt">
              <v:textbox style="mso-next-textbox:#_x0000_s1076" inset="1mm,.5mm,1mm,.5mm">
                <w:txbxContent>
                  <w:p w:rsidR="003C6D22" w:rsidRPr="00BB72E7" w:rsidRDefault="003C6D22" w:rsidP="003C6D2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BB72E7">
                      <w:rPr>
                        <w:sz w:val="14"/>
                        <w:szCs w:val="14"/>
                      </w:rPr>
                      <w:t>М</w:t>
                    </w:r>
                    <w:r>
                      <w:rPr>
                        <w:sz w:val="14"/>
                        <w:szCs w:val="14"/>
                      </w:rPr>
                      <w:t xml:space="preserve">отивационно-ценностная </w:t>
                    </w:r>
                    <w:r w:rsidRPr="00BB72E7">
                      <w:rPr>
                        <w:sz w:val="14"/>
                        <w:szCs w:val="14"/>
                      </w:rPr>
                      <w:t>направленност</w:t>
                    </w:r>
                    <w:r>
                      <w:rPr>
                        <w:sz w:val="14"/>
                        <w:szCs w:val="14"/>
                      </w:rPr>
                      <w:t>ь на развитие собственной речи</w:t>
                    </w:r>
                  </w:p>
                </w:txbxContent>
              </v:textbox>
            </v:shape>
            <v:shape id="_x0000_s1077" type="#_x0000_t202" style="position:absolute;left:5639;top:12044;width:3243;height:720" strokeweight="1pt">
              <v:textbox style="mso-next-textbox:#_x0000_s1077" inset="1mm,.5mm,1mm,.5mm">
                <w:txbxContent>
                  <w:p w:rsidR="003C6D22" w:rsidRPr="0096494D" w:rsidRDefault="003C6D22" w:rsidP="003C6D2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6494D">
                      <w:rPr>
                        <w:sz w:val="14"/>
                        <w:szCs w:val="14"/>
                      </w:rPr>
                      <w:t>Умение решать коммуникати</w:t>
                    </w:r>
                    <w:r>
                      <w:rPr>
                        <w:sz w:val="14"/>
                        <w:szCs w:val="14"/>
                      </w:rPr>
                      <w:t>вные задачи</w:t>
                    </w:r>
                  </w:p>
                </w:txbxContent>
              </v:textbox>
            </v:shape>
            <v:shape id="_x0000_s1078" type="#_x0000_t202" style="position:absolute;left:5642;top:10654;width:3240;height:720" strokeweight="1pt">
              <v:textbox style="mso-next-textbox:#_x0000_s1078" inset="1mm,.5mm,1mm,.5mm">
                <w:txbxContent>
                  <w:p w:rsidR="003C6D22" w:rsidRPr="0096494D" w:rsidRDefault="003C6D22" w:rsidP="003C6D2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6494D">
                      <w:rPr>
                        <w:sz w:val="14"/>
                        <w:szCs w:val="14"/>
                      </w:rPr>
                      <w:t>Мотивация лингвистического образования,       мотивация коммуникативно-реч</w:t>
                    </w:r>
                    <w:r>
                      <w:rPr>
                        <w:sz w:val="14"/>
                        <w:szCs w:val="14"/>
                      </w:rPr>
                      <w:t>евого развития,     ценностные ориентации школь</w:t>
                    </w:r>
                    <w:r w:rsidRPr="0096494D">
                      <w:rPr>
                        <w:sz w:val="14"/>
                        <w:szCs w:val="14"/>
                      </w:rPr>
                      <w:t>ников</w:t>
                    </w:r>
                    <w:r>
                      <w:rPr>
                        <w:sz w:val="14"/>
                        <w:szCs w:val="14"/>
                      </w:rPr>
                      <w:t xml:space="preserve"> в процессе общения</w:t>
                    </w:r>
                  </w:p>
                </w:txbxContent>
              </v:textbox>
            </v:shape>
            <v:shape id="_x0000_s1079" type="#_x0000_t202" style="position:absolute;left:4823;top:7532;width:1633;height:1424" strokeweight="1pt">
              <v:textbox style="mso-next-textbox:#_x0000_s1079">
                <w:txbxContent>
                  <w:p w:rsidR="003C6D22" w:rsidRPr="009104A4" w:rsidRDefault="003C6D22" w:rsidP="003C6D22">
                    <w:pPr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9104A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Диагностика мотивов, ценностей, сформированности знаний и умений коммуникации, субъектного опыта</w:t>
                    </w:r>
                  </w:p>
                </w:txbxContent>
              </v:textbox>
            </v:shape>
            <v:shape id="_x0000_s1080" type="#_x0000_t202" style="position:absolute;left:6579;top:7318;width:1980;height:1654" strokeweight="1pt">
              <v:textbox style="mso-next-textbox:#_x0000_s1080">
                <w:txbxContent>
                  <w:p w:rsidR="003C6D22" w:rsidRPr="009104A4" w:rsidRDefault="003C6D22" w:rsidP="003C6D22">
                    <w:pPr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9104A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Включение школьников в общественно и личностно значимую деятельность по развитию коммуникативных мотивов и ценностей. Формирование коммуникативных умений и навыков, опыта саморегуляции</w:t>
                    </w:r>
                  </w:p>
                </w:txbxContent>
              </v:textbox>
            </v:shape>
            <v:shape id="_x0000_s1081" type="#_x0000_t202" style="position:absolute;left:8702;top:7532;width:1441;height:1440" strokeweight="1pt">
              <v:textbox style="mso-next-textbox:#_x0000_s1081">
                <w:txbxContent>
                  <w:p w:rsidR="003C6D22" w:rsidRPr="0082705A" w:rsidRDefault="003C6D22" w:rsidP="003C6D2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9104A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Тренинги, тесты, рефлексия коммуникативного поведения, самооценка, взаимооценка. Диагностика</w:t>
                    </w:r>
                  </w:p>
                </w:txbxContent>
              </v:textbox>
            </v:shape>
            <v:shape id="_x0000_s1082" type="#_x0000_t202" style="position:absolute;left:4656;top:9214;width:2437;height:620" strokeweight="1pt">
              <v:textbox style="mso-next-textbox:#_x0000_s1082">
                <w:txbxContent>
                  <w:p w:rsidR="003C6D22" w:rsidRPr="0096494D" w:rsidRDefault="003C6D22" w:rsidP="003C6D2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6494D">
                      <w:rPr>
                        <w:sz w:val="14"/>
                        <w:szCs w:val="14"/>
                      </w:rPr>
                      <w:t>«Мозговой штурм»</w:t>
                    </w:r>
                    <w:r>
                      <w:rPr>
                        <w:sz w:val="14"/>
                        <w:szCs w:val="14"/>
                      </w:rPr>
                      <w:t>, дискуссия</w:t>
                    </w:r>
                    <w:r w:rsidR="00B65F05">
                      <w:rPr>
                        <w:sz w:val="14"/>
                        <w:szCs w:val="14"/>
                      </w:rPr>
                      <w:t>, диалоговые методы</w:t>
                    </w:r>
                  </w:p>
                </w:txbxContent>
              </v:textbox>
            </v:shape>
            <v:shape id="_x0000_s1083" type="#_x0000_t202" style="position:absolute;left:7300;top:9214;width:2725;height:618" strokeweight="1pt">
              <v:textbox style="mso-next-textbox:#_x0000_s1083">
                <w:txbxContent>
                  <w:p w:rsidR="003C6D22" w:rsidRPr="003F6ACC" w:rsidRDefault="00B65F05" w:rsidP="003C6D22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Технология риторизации, технология РКМЧП, игровая технология</w:t>
                    </w:r>
                  </w:p>
                </w:txbxContent>
              </v:textbox>
            </v:shape>
            <v:line id="_x0000_s1085" style="position:absolute;flip:y" from="3839,8494" to="4517,8497">
              <v:stroke endarrow="classic" endarrowwidth="narrow"/>
            </v:line>
            <v:line id="_x0000_s1086" style="position:absolute;flip:y" from="3868,9490" to="4546,9493">
              <v:stroke endarrow="classic" endarrowwidth="narrow"/>
            </v:line>
            <v:shape id="_x0000_s1087" type="#_x0000_t202" style="position:absolute;left:5639;top:11374;width:3237;height:662" strokeweight="1pt">
              <v:textbox style="mso-next-textbox:#_x0000_s1087">
                <w:txbxContent>
                  <w:p w:rsidR="003C6D22" w:rsidRPr="00BB72E7" w:rsidRDefault="003C6D22" w:rsidP="003C6D2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BB72E7">
                      <w:rPr>
                        <w:sz w:val="14"/>
                        <w:szCs w:val="14"/>
                      </w:rPr>
                      <w:t>Знание норм и правил эффективной</w:t>
                    </w:r>
                  </w:p>
                  <w:p w:rsidR="003C6D22" w:rsidRPr="00BB72E7" w:rsidRDefault="003C6D22" w:rsidP="003C6D2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BB72E7">
                      <w:rPr>
                        <w:sz w:val="14"/>
                        <w:szCs w:val="14"/>
                      </w:rPr>
                      <w:t>коммуникации, этикетных формул</w:t>
                    </w:r>
                  </w:p>
                </w:txbxContent>
              </v:textbox>
            </v:shape>
            <v:shape id="_x0000_s1088" type="#_x0000_t202" style="position:absolute;left:5279;top:10654;width:401;height:2622" strokeweight="1pt">
              <v:textbox style="layout-flow:vertical;mso-layout-flow-alt:bottom-to-top;mso-next-textbox:#_x0000_s1088" inset="1mm,1mm,1mm,1mm">
                <w:txbxContent>
                  <w:p w:rsidR="003C6D22" w:rsidRPr="005B27B4" w:rsidRDefault="003C6D22" w:rsidP="003C6D2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B27B4">
                      <w:rPr>
                        <w:b/>
                        <w:sz w:val="18"/>
                        <w:szCs w:val="18"/>
                      </w:rPr>
                      <w:t>Показатели</w:t>
                    </w:r>
                  </w:p>
                  <w:p w:rsidR="003C6D22" w:rsidRPr="00941296" w:rsidRDefault="003C6D22" w:rsidP="003C6D22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089" type="#_x0000_t202" style="position:absolute;left:2939;top:10654;width:401;height:2622" strokeweight="1pt">
              <v:textbox style="layout-flow:vertical;mso-layout-flow-alt:bottom-to-top;mso-next-textbox:#_x0000_s1089" inset="1mm,1mm,1mm,1mm">
                <w:txbxContent>
                  <w:p w:rsidR="003C6D22" w:rsidRPr="0096494D" w:rsidRDefault="003C6D22" w:rsidP="003C6D2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6494D">
                      <w:rPr>
                        <w:b/>
                        <w:sz w:val="18"/>
                        <w:szCs w:val="18"/>
                      </w:rPr>
                      <w:t>Критерии</w:t>
                    </w:r>
                  </w:p>
                  <w:p w:rsidR="003C6D22" w:rsidRPr="00941296" w:rsidRDefault="003C6D22" w:rsidP="003C6D22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3C6D22" w:rsidRPr="007E6821" w:rsidRDefault="003C6D22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D22" w:rsidRPr="007E6821" w:rsidRDefault="003C6D22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D22" w:rsidRPr="007E6821" w:rsidRDefault="003C6D22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D22" w:rsidRPr="007E6821" w:rsidRDefault="003C6D22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D22" w:rsidRPr="007E6821" w:rsidRDefault="003C6D22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D22" w:rsidRPr="007E6821" w:rsidRDefault="003C6D22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D22" w:rsidRPr="007E6821" w:rsidRDefault="003C6D22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D22" w:rsidRPr="007E6821" w:rsidRDefault="003C6D22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D22" w:rsidRPr="007E6821" w:rsidRDefault="003C6D22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D22" w:rsidRDefault="003C6D22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A4" w:rsidRDefault="009104A4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A4" w:rsidRDefault="009104A4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A4" w:rsidRDefault="009104A4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A4" w:rsidRDefault="009104A4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A4" w:rsidRDefault="009104A4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A4" w:rsidRDefault="009104A4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A4" w:rsidRDefault="009104A4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A4" w:rsidRDefault="009104A4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A4" w:rsidRDefault="009104A4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A4" w:rsidRDefault="009104A4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A4" w:rsidRDefault="009104A4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A4" w:rsidRDefault="009104A4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A4" w:rsidRDefault="009104A4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A4" w:rsidRDefault="009104A4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A4" w:rsidRDefault="009104A4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A4" w:rsidRDefault="009104A4" w:rsidP="007E6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A4" w:rsidRDefault="009104A4" w:rsidP="009104A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C6D22" w:rsidRPr="009104A4" w:rsidRDefault="009104A4" w:rsidP="009104A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104A4">
        <w:rPr>
          <w:rFonts w:ascii="Times New Roman" w:hAnsi="Times New Roman" w:cs="Times New Roman"/>
          <w:sz w:val="16"/>
          <w:szCs w:val="16"/>
        </w:rPr>
        <w:t>Рисунок 1</w:t>
      </w:r>
      <w:r>
        <w:rPr>
          <w:rFonts w:ascii="Times New Roman" w:hAnsi="Times New Roman" w:cs="Times New Roman"/>
          <w:sz w:val="16"/>
          <w:szCs w:val="16"/>
        </w:rPr>
        <w:t>.Модель коммуникативно-речевого развития школьников</w:t>
      </w:r>
    </w:p>
    <w:p w:rsidR="006D79EE" w:rsidRPr="007E6821" w:rsidRDefault="006D79EE" w:rsidP="007E6821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6D79EE" w:rsidRPr="007E6821" w:rsidSect="00910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A4" w:rsidRDefault="009104A4" w:rsidP="009104A4">
      <w:pPr>
        <w:spacing w:after="0" w:line="240" w:lineRule="auto"/>
      </w:pPr>
      <w:r>
        <w:separator/>
      </w:r>
    </w:p>
  </w:endnote>
  <w:endnote w:type="continuationSeparator" w:id="0">
    <w:p w:rsidR="009104A4" w:rsidRDefault="009104A4" w:rsidP="0091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A4" w:rsidRDefault="009104A4" w:rsidP="009104A4">
      <w:pPr>
        <w:spacing w:after="0" w:line="240" w:lineRule="auto"/>
      </w:pPr>
      <w:r>
        <w:separator/>
      </w:r>
    </w:p>
  </w:footnote>
  <w:footnote w:type="continuationSeparator" w:id="0">
    <w:p w:rsidR="009104A4" w:rsidRDefault="009104A4" w:rsidP="00910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D22"/>
    <w:rsid w:val="00175001"/>
    <w:rsid w:val="002269DA"/>
    <w:rsid w:val="003C6D22"/>
    <w:rsid w:val="006D79EE"/>
    <w:rsid w:val="007E6821"/>
    <w:rsid w:val="009104A4"/>
    <w:rsid w:val="00B65F05"/>
    <w:rsid w:val="00D50F2F"/>
    <w:rsid w:val="00F9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C6D2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4A4"/>
  </w:style>
  <w:style w:type="paragraph" w:styleId="a6">
    <w:name w:val="footer"/>
    <w:basedOn w:val="a"/>
    <w:link w:val="a7"/>
    <w:uiPriority w:val="99"/>
    <w:unhideWhenUsed/>
    <w:rsid w:val="0091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96CC-A358-45EA-A543-CC83DB76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2017-10-26T07:16:00Z</dcterms:created>
  <dcterms:modified xsi:type="dcterms:W3CDTF">2017-10-26T08:52:00Z</dcterms:modified>
</cp:coreProperties>
</file>